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2DD6464D"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807C85">
        <w:rPr>
          <w:rFonts w:cs="Arial"/>
          <w:sz w:val="24"/>
          <w:szCs w:val="24"/>
        </w:rPr>
        <w:t>8</w:t>
      </w:r>
      <w:r w:rsidR="00EA35C5">
        <w:rPr>
          <w:rFonts w:cs="Arial"/>
          <w:sz w:val="24"/>
          <w:szCs w:val="24"/>
        </w:rPr>
        <w:t>bis</w:t>
      </w:r>
      <w:r w:rsidRPr="00062030">
        <w:rPr>
          <w:rFonts w:cs="Arial"/>
          <w:sz w:val="24"/>
          <w:szCs w:val="24"/>
        </w:rPr>
        <w:tab/>
      </w:r>
      <w:r w:rsidRPr="00062030">
        <w:rPr>
          <w:rFonts w:cs="Arial"/>
          <w:sz w:val="24"/>
          <w:szCs w:val="24"/>
        </w:rPr>
        <w:tab/>
      </w:r>
      <w:r w:rsidR="00ED10D5" w:rsidRPr="00ED10D5">
        <w:rPr>
          <w:rFonts w:cs="Arial"/>
          <w:sz w:val="24"/>
          <w:szCs w:val="24"/>
        </w:rPr>
        <w:t>R4-23</w:t>
      </w:r>
      <w:r w:rsidR="00662E2F">
        <w:rPr>
          <w:rFonts w:cs="Arial"/>
          <w:sz w:val="24"/>
          <w:szCs w:val="24"/>
        </w:rPr>
        <w:t>15504</w:t>
      </w:r>
    </w:p>
    <w:p w14:paraId="2B8CA05C" w14:textId="77777777" w:rsidR="00EA35C5" w:rsidRDefault="00EA35C5" w:rsidP="00EA35C5">
      <w:pPr>
        <w:tabs>
          <w:tab w:val="left" w:pos="1985"/>
        </w:tabs>
        <w:spacing w:after="120"/>
        <w:rPr>
          <w:rFonts w:ascii="Arial" w:eastAsia="SimSun" w:hAnsi="Arial" w:cs="Arial"/>
          <w:b/>
          <w:noProof/>
          <w:lang w:val="en-GB"/>
        </w:rPr>
      </w:pPr>
      <w:r w:rsidRPr="0074536E">
        <w:rPr>
          <w:rFonts w:ascii="Arial" w:hAnsi="Arial" w:cs="Arial"/>
          <w:b/>
          <w:noProof/>
        </w:rPr>
        <w:t>Xiamen, China</w:t>
      </w:r>
      <w:r w:rsidRPr="00DF0371">
        <w:rPr>
          <w:rFonts w:ascii="Arial" w:hAnsi="Arial" w:cs="Arial"/>
          <w:b/>
          <w:noProof/>
        </w:rPr>
        <w:t xml:space="preserve">, </w:t>
      </w:r>
      <w:r>
        <w:rPr>
          <w:rFonts w:ascii="Arial" w:hAnsi="Arial" w:cs="Arial"/>
          <w:b/>
          <w:noProof/>
        </w:rPr>
        <w:t>Oct</w:t>
      </w:r>
      <w:r w:rsidRPr="00DF0371">
        <w:rPr>
          <w:rFonts w:ascii="Arial" w:hAnsi="Arial" w:cs="Arial"/>
          <w:b/>
          <w:noProof/>
        </w:rPr>
        <w:t xml:space="preserve">. </w:t>
      </w:r>
      <w:r>
        <w:rPr>
          <w:rFonts w:ascii="Arial" w:hAnsi="Arial" w:cs="Arial"/>
          <w:b/>
          <w:noProof/>
        </w:rPr>
        <w:t>9</w:t>
      </w:r>
      <w:r w:rsidRPr="00DF0371">
        <w:rPr>
          <w:rFonts w:ascii="Arial" w:hAnsi="Arial" w:cs="Arial"/>
          <w:b/>
          <w:noProof/>
        </w:rPr>
        <w:t xml:space="preserve"> – </w:t>
      </w:r>
      <w:r>
        <w:rPr>
          <w:rFonts w:ascii="Arial" w:hAnsi="Arial" w:cs="Arial"/>
          <w:b/>
          <w:noProof/>
        </w:rPr>
        <w:t>13</w:t>
      </w:r>
      <w:r w:rsidRPr="00E25BFC">
        <w:rPr>
          <w:rFonts w:ascii="Arial" w:eastAsia="SimSun" w:hAnsi="Arial" w:cs="Arial"/>
          <w:b/>
          <w:noProof/>
          <w:lang w:val="en-GB"/>
        </w:rPr>
        <w:t>, 2023</w:t>
      </w:r>
    </w:p>
    <w:p w14:paraId="57CA4489" w14:textId="5143E99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EA35C5">
        <w:rPr>
          <w:rFonts w:ascii="Arial" w:hAnsi="Arial" w:cs="Arial"/>
          <w:b/>
          <w:sz w:val="22"/>
          <w:szCs w:val="22"/>
        </w:rPr>
        <w:t>5</w:t>
      </w:r>
      <w:r>
        <w:rPr>
          <w:rFonts w:ascii="Arial" w:hAnsi="Arial" w:cs="Arial"/>
          <w:b/>
          <w:sz w:val="22"/>
          <w:szCs w:val="22"/>
        </w:rPr>
        <w:t>.</w:t>
      </w:r>
      <w:r w:rsidR="0041759B">
        <w:rPr>
          <w:rFonts w:ascii="Arial" w:hAnsi="Arial" w:cs="Arial"/>
          <w:b/>
          <w:sz w:val="22"/>
          <w:szCs w:val="22"/>
        </w:rPr>
        <w:t>7</w:t>
      </w:r>
      <w:r>
        <w:rPr>
          <w:rFonts w:ascii="Arial" w:hAnsi="Arial" w:cs="Arial"/>
          <w:b/>
          <w:sz w:val="22"/>
          <w:szCs w:val="22"/>
        </w:rPr>
        <w:t>.</w:t>
      </w:r>
      <w:r w:rsidR="00EA35C5">
        <w:rPr>
          <w:rFonts w:ascii="Arial" w:hAnsi="Arial" w:cs="Arial"/>
          <w:b/>
          <w:sz w:val="22"/>
          <w:szCs w:val="22"/>
        </w:rPr>
        <w:t>2</w:t>
      </w:r>
      <w:r w:rsidR="00294DDA">
        <w:rPr>
          <w:rFonts w:ascii="Arial" w:hAnsi="Arial" w:cs="Arial"/>
          <w:b/>
          <w:sz w:val="22"/>
          <w:szCs w:val="22"/>
        </w:rPr>
        <w:t>.</w:t>
      </w:r>
      <w:r w:rsidR="003B4400">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BD6B10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On g</w:t>
      </w:r>
      <w:r w:rsidR="00CE076D" w:rsidRPr="00CE076D">
        <w:rPr>
          <w:rFonts w:ascii="Arial" w:hAnsi="Arial" w:cs="Arial"/>
          <w:b/>
          <w:sz w:val="22"/>
          <w:szCs w:val="22"/>
        </w:rPr>
        <w:t xml:space="preserve">eneral aspects </w:t>
      </w:r>
      <w:r w:rsidR="00294DDA" w:rsidRPr="00294DDA">
        <w:rPr>
          <w:rFonts w:ascii="Arial" w:hAnsi="Arial" w:cs="Arial"/>
          <w:b/>
          <w:sz w:val="22"/>
          <w:szCs w:val="22"/>
        </w:rPr>
        <w:t>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30BB9147"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w:t>
      </w:r>
      <w:r w:rsidR="00125BD1">
        <w:rPr>
          <w:sz w:val="20"/>
          <w:szCs w:val="20"/>
          <w:lang w:eastAsia="ja-JP"/>
        </w:rPr>
        <w:t>8</w:t>
      </w:r>
      <w:r w:rsidR="00A152BC">
        <w:rPr>
          <w:sz w:val="20"/>
          <w:szCs w:val="20"/>
          <w:lang w:eastAsia="ja-JP"/>
        </w:rPr>
        <w:t>,</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9D4A8B">
        <w:rPr>
          <w:sz w:val="20"/>
          <w:szCs w:val="20"/>
          <w:lang w:eastAsia="ja-JP"/>
        </w:rPr>
        <w:t xml:space="preserve">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3E04608E" w14:textId="77777777" w:rsidR="00125BD1" w:rsidRPr="00125BD1" w:rsidRDefault="00125BD1" w:rsidP="00125BD1">
      <w:pPr>
        <w:pStyle w:val="ListParagraph"/>
        <w:numPr>
          <w:ilvl w:val="0"/>
          <w:numId w:val="37"/>
        </w:numPr>
        <w:spacing w:before="100" w:beforeAutospacing="1" w:after="100" w:afterAutospacing="1"/>
        <w:rPr>
          <w:sz w:val="20"/>
          <w:szCs w:val="20"/>
        </w:rPr>
      </w:pPr>
      <w:r w:rsidRPr="00125BD1">
        <w:rPr>
          <w:sz w:val="20"/>
          <w:szCs w:val="20"/>
        </w:rPr>
        <w:t xml:space="preserve">UE </w:t>
      </w:r>
      <w:proofErr w:type="spellStart"/>
      <w:r w:rsidRPr="00125BD1">
        <w:rPr>
          <w:sz w:val="20"/>
          <w:szCs w:val="20"/>
        </w:rPr>
        <w:t>behaviour</w:t>
      </w:r>
      <w:proofErr w:type="spellEnd"/>
      <w:r w:rsidRPr="00125BD1">
        <w:rPr>
          <w:sz w:val="20"/>
          <w:szCs w:val="20"/>
        </w:rPr>
        <w:t xml:space="preserve"> when a condition becomes violated during a </w:t>
      </w:r>
      <w:proofErr w:type="gramStart"/>
      <w:r w:rsidRPr="00125BD1">
        <w:rPr>
          <w:sz w:val="20"/>
          <w:szCs w:val="20"/>
        </w:rPr>
        <w:t>measurement</w:t>
      </w:r>
      <w:proofErr w:type="gramEnd"/>
    </w:p>
    <w:p w14:paraId="329BAEDB" w14:textId="134E290F" w:rsidR="00125BD1" w:rsidRDefault="00125BD1" w:rsidP="00125BD1">
      <w:pPr>
        <w:pStyle w:val="ListParagraph"/>
        <w:numPr>
          <w:ilvl w:val="0"/>
          <w:numId w:val="37"/>
        </w:numPr>
        <w:spacing w:before="100" w:beforeAutospacing="1" w:after="100" w:afterAutospacing="1"/>
        <w:rPr>
          <w:sz w:val="20"/>
          <w:szCs w:val="20"/>
        </w:rPr>
      </w:pPr>
      <w:r w:rsidRPr="00125BD1">
        <w:rPr>
          <w:sz w:val="20"/>
          <w:szCs w:val="20"/>
        </w:rPr>
        <w:t xml:space="preserve">UE capability including MAC-CE based TCI </w:t>
      </w:r>
      <w:proofErr w:type="gramStart"/>
      <w:r w:rsidRPr="00125BD1">
        <w:rPr>
          <w:sz w:val="20"/>
          <w:szCs w:val="20"/>
        </w:rPr>
        <w:t>switching</w:t>
      </w:r>
      <w:proofErr w:type="gramEnd"/>
    </w:p>
    <w:p w14:paraId="42E3FB41" w14:textId="2BBF79A8" w:rsidR="004C5265" w:rsidRDefault="008E7986" w:rsidP="005037D3">
      <w:pPr>
        <w:pStyle w:val="Heading1"/>
      </w:pPr>
      <w:r>
        <w:t>2</w:t>
      </w:r>
      <w:r>
        <w:tab/>
      </w:r>
      <w:r w:rsidR="0077432F">
        <w:t>Discussion</w:t>
      </w:r>
    </w:p>
    <w:p w14:paraId="72C11AF7" w14:textId="3052B823" w:rsidR="00F62112" w:rsidRDefault="00F62112" w:rsidP="00B2198A">
      <w:pPr>
        <w:pStyle w:val="Heading2"/>
        <w:ind w:left="0" w:firstLine="0"/>
      </w:pPr>
      <w:r>
        <w:t>2.</w:t>
      </w:r>
      <w:r w:rsidR="00D86D4D">
        <w:t>1</w:t>
      </w:r>
      <w:r>
        <w:t xml:space="preserve"> </w:t>
      </w:r>
      <w:r w:rsidR="00125BD1" w:rsidRPr="00125BD1">
        <w:t xml:space="preserve">UE behaviour when a condition becomes violated during a </w:t>
      </w:r>
      <w:proofErr w:type="gramStart"/>
      <w:r w:rsidR="00125BD1" w:rsidRPr="00125BD1">
        <w:t>measurement</w:t>
      </w:r>
      <w:proofErr w:type="gramEnd"/>
    </w:p>
    <w:p w14:paraId="0DDD22D4" w14:textId="0D37F07C" w:rsidR="000F5499" w:rsidRDefault="00A74818" w:rsidP="00C163A6">
      <w:pPr>
        <w:rPr>
          <w:color w:val="000000"/>
          <w:sz w:val="20"/>
          <w:szCs w:val="20"/>
          <w:lang w:val="en-GB"/>
        </w:rPr>
      </w:pPr>
      <w:r>
        <w:rPr>
          <w:color w:val="000000"/>
          <w:sz w:val="20"/>
          <w:szCs w:val="20"/>
          <w:lang w:val="en-GB"/>
        </w:rPr>
        <w:t xml:space="preserve">The following options are captured in </w:t>
      </w:r>
      <w:r w:rsidR="00B32B3E">
        <w:rPr>
          <w:color w:val="000000"/>
          <w:sz w:val="20"/>
          <w:szCs w:val="20"/>
          <w:lang w:val="en-GB"/>
        </w:rPr>
        <w:t>[</w:t>
      </w:r>
      <w:r w:rsidR="00AD5815">
        <w:rPr>
          <w:color w:val="000000"/>
          <w:sz w:val="20"/>
          <w:szCs w:val="20"/>
          <w:lang w:val="en-GB"/>
        </w:rPr>
        <w:t>1</w:t>
      </w:r>
      <w:r w:rsidR="00B32B3E">
        <w:rPr>
          <w:color w:val="000000"/>
          <w:sz w:val="20"/>
          <w:szCs w:val="20"/>
          <w:lang w:val="en-GB"/>
        </w:rPr>
        <w:t>]</w:t>
      </w:r>
      <w:r w:rsidR="00056AE1">
        <w:rPr>
          <w:color w:val="000000"/>
          <w:sz w:val="20"/>
          <w:szCs w:val="20"/>
          <w:lang w:val="en-GB"/>
        </w:rPr>
        <w:t>:</w:t>
      </w:r>
    </w:p>
    <w:p w14:paraId="40795DF6" w14:textId="0B167379" w:rsidR="00A3156F" w:rsidRDefault="00A3156F" w:rsidP="00C163A6">
      <w:pPr>
        <w:rPr>
          <w:color w:val="000000"/>
          <w:sz w:val="20"/>
          <w:szCs w:val="20"/>
          <w:lang w:val="en-GB"/>
        </w:rPr>
      </w:pPr>
    </w:p>
    <w:p w14:paraId="0B334F69" w14:textId="77777777" w:rsidR="00125BD1" w:rsidRPr="00125BD1" w:rsidRDefault="00125BD1" w:rsidP="00125BD1">
      <w:pPr>
        <w:outlineLvl w:val="3"/>
        <w:rPr>
          <w:b/>
          <w:color w:val="000000" w:themeColor="text1"/>
          <w:sz w:val="20"/>
          <w:szCs w:val="20"/>
          <w:u w:val="single"/>
          <w:lang w:eastAsia="ko-KR"/>
        </w:rPr>
      </w:pPr>
      <w:r w:rsidRPr="00125BD1">
        <w:rPr>
          <w:b/>
          <w:color w:val="000000" w:themeColor="text1"/>
          <w:sz w:val="20"/>
          <w:szCs w:val="20"/>
          <w:u w:val="single"/>
          <w:lang w:eastAsia="ko-KR"/>
        </w:rPr>
        <w:t xml:space="preserve">Issue 1-3-5: UE </w:t>
      </w:r>
      <w:proofErr w:type="spellStart"/>
      <w:r w:rsidRPr="00125BD1">
        <w:rPr>
          <w:b/>
          <w:color w:val="000000" w:themeColor="text1"/>
          <w:sz w:val="20"/>
          <w:szCs w:val="20"/>
          <w:u w:val="single"/>
          <w:lang w:eastAsia="ko-KR"/>
        </w:rPr>
        <w:t>behaviour</w:t>
      </w:r>
      <w:proofErr w:type="spellEnd"/>
      <w:r w:rsidRPr="00125BD1">
        <w:rPr>
          <w:b/>
          <w:color w:val="000000" w:themeColor="text1"/>
          <w:sz w:val="20"/>
          <w:szCs w:val="20"/>
          <w:u w:val="single"/>
          <w:lang w:eastAsia="ko-KR"/>
        </w:rPr>
        <w:t xml:space="preserve"> when a </w:t>
      </w:r>
      <w:proofErr w:type="gramStart"/>
      <w:r w:rsidRPr="00125BD1">
        <w:rPr>
          <w:b/>
          <w:color w:val="000000" w:themeColor="text1"/>
          <w:sz w:val="20"/>
          <w:szCs w:val="20"/>
          <w:u w:val="single"/>
          <w:lang w:eastAsia="ko-KR"/>
        </w:rPr>
        <w:t>condition  becomes</w:t>
      </w:r>
      <w:proofErr w:type="gramEnd"/>
      <w:r w:rsidRPr="00125BD1">
        <w:rPr>
          <w:b/>
          <w:color w:val="000000" w:themeColor="text1"/>
          <w:sz w:val="20"/>
          <w:szCs w:val="20"/>
          <w:u w:val="single"/>
          <w:lang w:eastAsia="ko-KR"/>
        </w:rPr>
        <w:t xml:space="preserve"> violated during a measurement</w:t>
      </w:r>
    </w:p>
    <w:p w14:paraId="775898E8" w14:textId="38E99E2C" w:rsidR="00A3156F" w:rsidRPr="00125BD1" w:rsidRDefault="00125BD1" w:rsidP="00C163A6">
      <w:pPr>
        <w:pStyle w:val="ListParagraph"/>
        <w:numPr>
          <w:ilvl w:val="0"/>
          <w:numId w:val="36"/>
        </w:numPr>
        <w:spacing w:after="120"/>
        <w:ind w:left="720"/>
        <w:contextualSpacing w:val="0"/>
        <w:rPr>
          <w:color w:val="000000" w:themeColor="text1"/>
          <w:sz w:val="20"/>
          <w:szCs w:val="20"/>
        </w:rPr>
      </w:pPr>
      <w:r w:rsidRPr="00125BD1">
        <w:rPr>
          <w:rFonts w:eastAsia="SimSun"/>
          <w:color w:val="000000" w:themeColor="text1"/>
          <w:sz w:val="20"/>
          <w:szCs w:val="20"/>
        </w:rPr>
        <w:t xml:space="preserve">FFS if it is to define particular behavior when side conditions for multi-Rx operation are </w:t>
      </w:r>
      <w:proofErr w:type="gramStart"/>
      <w:r w:rsidRPr="00125BD1">
        <w:rPr>
          <w:rFonts w:eastAsia="SimSun"/>
          <w:color w:val="000000" w:themeColor="text1"/>
          <w:sz w:val="20"/>
          <w:szCs w:val="20"/>
        </w:rPr>
        <w:t>violated</w:t>
      </w:r>
      <w:proofErr w:type="gramEnd"/>
    </w:p>
    <w:p w14:paraId="492A2A45" w14:textId="77777777" w:rsidR="00125BD1" w:rsidRDefault="00125BD1" w:rsidP="00C163A6">
      <w:pPr>
        <w:rPr>
          <w:color w:val="000000"/>
          <w:sz w:val="20"/>
          <w:szCs w:val="20"/>
        </w:rPr>
      </w:pPr>
    </w:p>
    <w:p w14:paraId="3E0621FC" w14:textId="36A552E9" w:rsidR="00EC1F15" w:rsidRDefault="00EC1F15" w:rsidP="00C163A6">
      <w:pPr>
        <w:rPr>
          <w:color w:val="000000"/>
          <w:sz w:val="20"/>
          <w:szCs w:val="20"/>
        </w:rPr>
      </w:pPr>
      <w:r>
        <w:rPr>
          <w:color w:val="000000"/>
          <w:sz w:val="20"/>
          <w:szCs w:val="20"/>
        </w:rPr>
        <w:t>More specifically, some possible UE behaviors were proposed in previous meetings as copied below:</w:t>
      </w:r>
    </w:p>
    <w:p w14:paraId="593BD28D" w14:textId="77777777" w:rsidR="00EC1F15" w:rsidRDefault="00EC1F15" w:rsidP="00C163A6">
      <w:pPr>
        <w:rPr>
          <w:color w:val="000000"/>
          <w:sz w:val="20"/>
          <w:szCs w:val="20"/>
        </w:rPr>
      </w:pPr>
    </w:p>
    <w:p w14:paraId="394C44EB" w14:textId="77777777" w:rsidR="00EC1F15" w:rsidRPr="00EC1F15" w:rsidRDefault="00EC1F15" w:rsidP="00EC1F15">
      <w:pPr>
        <w:pStyle w:val="ListParagraph"/>
        <w:numPr>
          <w:ilvl w:val="0"/>
          <w:numId w:val="36"/>
        </w:numPr>
        <w:spacing w:after="180"/>
        <w:contextualSpacing w:val="0"/>
        <w:jc w:val="both"/>
        <w:rPr>
          <w:sz w:val="20"/>
          <w:szCs w:val="20"/>
        </w:rPr>
      </w:pPr>
      <w:r w:rsidRPr="00EC1F15">
        <w:rPr>
          <w:sz w:val="20"/>
          <w:szCs w:val="20"/>
        </w:rPr>
        <w:t>When at least one of the conditions becomes violated, the UE may or may not be able to complete the multi-</w:t>
      </w:r>
      <w:proofErr w:type="spellStart"/>
      <w:r w:rsidRPr="00EC1F15">
        <w:rPr>
          <w:sz w:val="20"/>
          <w:szCs w:val="20"/>
        </w:rPr>
        <w:t>rx</w:t>
      </w:r>
      <w:proofErr w:type="spellEnd"/>
      <w:r w:rsidRPr="00EC1F15">
        <w:rPr>
          <w:sz w:val="20"/>
          <w:szCs w:val="20"/>
        </w:rPr>
        <w:t xml:space="preserve"> measurement, e.g.:</w:t>
      </w:r>
    </w:p>
    <w:p w14:paraId="3DFCABBC" w14:textId="77777777" w:rsidR="00EC1F15" w:rsidRPr="00EC1F15" w:rsidRDefault="00EC1F15" w:rsidP="00EC1F15">
      <w:pPr>
        <w:pStyle w:val="ListParagraph"/>
        <w:numPr>
          <w:ilvl w:val="1"/>
          <w:numId w:val="36"/>
        </w:numPr>
        <w:spacing w:after="180"/>
        <w:contextualSpacing w:val="0"/>
        <w:jc w:val="both"/>
        <w:rPr>
          <w:sz w:val="20"/>
          <w:szCs w:val="20"/>
        </w:rPr>
      </w:pPr>
      <w:r w:rsidRPr="00EC1F15">
        <w:rPr>
          <w:sz w:val="20"/>
          <w:szCs w:val="20"/>
        </w:rPr>
        <w:t xml:space="preserve">may need to stop and restart (in new conditions) the RS measurements, at least for some of the conditions (e.g., when TCI configuration changes, </w:t>
      </w:r>
      <w:proofErr w:type="spellStart"/>
      <w:r w:rsidRPr="00EC1F15">
        <w:rPr>
          <w:sz w:val="20"/>
          <w:szCs w:val="20"/>
        </w:rPr>
        <w:t>PCell</w:t>
      </w:r>
      <w:proofErr w:type="spellEnd"/>
      <w:r w:rsidRPr="00EC1F15">
        <w:rPr>
          <w:sz w:val="20"/>
          <w:szCs w:val="20"/>
        </w:rPr>
        <w:t xml:space="preserve"> changes).</w:t>
      </w:r>
    </w:p>
    <w:p w14:paraId="21552643" w14:textId="77777777" w:rsidR="00EC1F15" w:rsidRPr="00EC1F15" w:rsidRDefault="00EC1F15" w:rsidP="00EC1F15">
      <w:pPr>
        <w:pStyle w:val="ListParagraph"/>
        <w:numPr>
          <w:ilvl w:val="1"/>
          <w:numId w:val="36"/>
        </w:numPr>
        <w:spacing w:after="180"/>
        <w:contextualSpacing w:val="0"/>
        <w:jc w:val="both"/>
        <w:rPr>
          <w:sz w:val="20"/>
          <w:szCs w:val="20"/>
        </w:rPr>
      </w:pPr>
      <w:r w:rsidRPr="00EC1F15">
        <w:rPr>
          <w:sz w:val="20"/>
          <w:szCs w:val="20"/>
        </w:rPr>
        <w:t>continues the RS measurement using a single panel, but more relaxed requirements apply for such measurement, at least for some of the conditions,</w:t>
      </w:r>
    </w:p>
    <w:p w14:paraId="5AA99F72" w14:textId="77777777" w:rsidR="00EC1F15" w:rsidRPr="00EC1F15" w:rsidRDefault="00EC1F15" w:rsidP="00EC1F15">
      <w:pPr>
        <w:pStyle w:val="ListParagraph"/>
        <w:numPr>
          <w:ilvl w:val="1"/>
          <w:numId w:val="36"/>
        </w:numPr>
        <w:spacing w:after="180"/>
        <w:contextualSpacing w:val="0"/>
        <w:jc w:val="both"/>
        <w:rPr>
          <w:sz w:val="20"/>
          <w:szCs w:val="20"/>
        </w:rPr>
      </w:pPr>
      <w:r w:rsidRPr="00EC1F15">
        <w:rPr>
          <w:sz w:val="20"/>
          <w:szCs w:val="20"/>
        </w:rPr>
        <w:t>may need to complete the measurement before switching to the operation mode where the condition is violated, at least for some of the conditions (e.g., UE receives CA configuration).</w:t>
      </w:r>
    </w:p>
    <w:p w14:paraId="6CB36590" w14:textId="1CA984C3" w:rsidR="00EC1F15" w:rsidRPr="00AD5815" w:rsidRDefault="00EC1F15" w:rsidP="00C163A6">
      <w:pPr>
        <w:rPr>
          <w:color w:val="000000"/>
          <w:sz w:val="20"/>
          <w:szCs w:val="20"/>
        </w:rPr>
      </w:pPr>
      <w:proofErr w:type="gramStart"/>
      <w:r>
        <w:rPr>
          <w:color w:val="000000"/>
          <w:sz w:val="20"/>
          <w:szCs w:val="20"/>
        </w:rPr>
        <w:t>It can be seen that those</w:t>
      </w:r>
      <w:proofErr w:type="gramEnd"/>
      <w:r>
        <w:rPr>
          <w:color w:val="000000"/>
          <w:sz w:val="20"/>
          <w:szCs w:val="20"/>
        </w:rPr>
        <w:t xml:space="preserve"> behaviors and the timing of behavior changes are heavily dependent on implementation choices, e.g., the fallback to the use of single panel. As such, it would be difficult to clarify and/or mandate any UE behavior </w:t>
      </w:r>
      <w:r w:rsidR="002C3E71">
        <w:rPr>
          <w:color w:val="000000"/>
          <w:sz w:val="20"/>
          <w:szCs w:val="20"/>
        </w:rPr>
        <w:t xml:space="preserve">as it could restrict UE implementation, especially if such behaviors are not clearly specified in </w:t>
      </w:r>
      <w:r>
        <w:rPr>
          <w:color w:val="000000"/>
          <w:sz w:val="20"/>
          <w:szCs w:val="20"/>
        </w:rPr>
        <w:t>RAN1/2</w:t>
      </w:r>
      <w:r w:rsidR="002C3E71">
        <w:rPr>
          <w:color w:val="000000"/>
          <w:sz w:val="20"/>
          <w:szCs w:val="20"/>
        </w:rPr>
        <w:t xml:space="preserve"> specifications</w:t>
      </w:r>
      <w:r>
        <w:rPr>
          <w:color w:val="000000"/>
          <w:sz w:val="20"/>
          <w:szCs w:val="20"/>
        </w:rPr>
        <w:t xml:space="preserve">. </w:t>
      </w:r>
    </w:p>
    <w:p w14:paraId="786A0DB7" w14:textId="77777777" w:rsidR="00EC1F15" w:rsidRDefault="00EC1F15" w:rsidP="00C163A6">
      <w:pPr>
        <w:rPr>
          <w:color w:val="000000"/>
          <w:sz w:val="20"/>
          <w:szCs w:val="20"/>
        </w:rPr>
      </w:pPr>
    </w:p>
    <w:p w14:paraId="01684B96" w14:textId="137346CA" w:rsidR="00EC1F15" w:rsidRDefault="00EC1F15" w:rsidP="00C163A6">
      <w:pPr>
        <w:rPr>
          <w:color w:val="000000"/>
          <w:sz w:val="20"/>
          <w:szCs w:val="20"/>
        </w:rPr>
      </w:pPr>
      <w:r>
        <w:rPr>
          <w:color w:val="000000"/>
          <w:sz w:val="20"/>
          <w:szCs w:val="20"/>
        </w:rPr>
        <w:t xml:space="preserve">Separately, we proposed to clarify </w:t>
      </w:r>
      <w:r w:rsidRPr="00EC1F15">
        <w:rPr>
          <w:color w:val="000000"/>
          <w:sz w:val="20"/>
          <w:szCs w:val="20"/>
        </w:rPr>
        <w:t>UE behavior in case the UE does not support the two configured target TCI states</w:t>
      </w:r>
      <w:r>
        <w:rPr>
          <w:color w:val="000000"/>
          <w:sz w:val="20"/>
          <w:szCs w:val="20"/>
        </w:rPr>
        <w:t xml:space="preserve"> [</w:t>
      </w:r>
      <w:r w:rsidR="00ED0958">
        <w:rPr>
          <w:color w:val="000000"/>
          <w:sz w:val="20"/>
          <w:szCs w:val="20"/>
        </w:rPr>
        <w:t>2</w:t>
      </w:r>
      <w:r>
        <w:rPr>
          <w:color w:val="000000"/>
          <w:sz w:val="20"/>
          <w:szCs w:val="20"/>
        </w:rPr>
        <w:t>],</w:t>
      </w:r>
      <w:r w:rsidR="00ED0958">
        <w:rPr>
          <w:color w:val="000000"/>
          <w:sz w:val="20"/>
          <w:szCs w:val="20"/>
        </w:rPr>
        <w:t xml:space="preserve"> which we believe is critical to the simultaneous reception. However, due to the time limitation, it was agreed that n</w:t>
      </w:r>
      <w:r w:rsidR="00ED0958" w:rsidRPr="00ED0958">
        <w:rPr>
          <w:color w:val="000000"/>
          <w:sz w:val="20"/>
          <w:szCs w:val="20"/>
        </w:rPr>
        <w:t>o UE behavior is defined in Rel-18 multi-Rx WI when UE cannot receive dual TCI states simultaneously</w:t>
      </w:r>
      <w:r w:rsidR="00ED0958">
        <w:rPr>
          <w:color w:val="000000"/>
          <w:sz w:val="20"/>
          <w:szCs w:val="20"/>
        </w:rPr>
        <w:t xml:space="preserve">, as it may involve work from RAN1/2. </w:t>
      </w:r>
    </w:p>
    <w:p w14:paraId="28713469" w14:textId="77777777" w:rsidR="00EC1F15" w:rsidRDefault="00EC1F15" w:rsidP="00C163A6">
      <w:pPr>
        <w:rPr>
          <w:color w:val="000000"/>
          <w:sz w:val="20"/>
          <w:szCs w:val="20"/>
        </w:rPr>
      </w:pPr>
    </w:p>
    <w:p w14:paraId="3607D80B" w14:textId="4DFBA583" w:rsidR="00613C2B" w:rsidRDefault="00ED0958" w:rsidP="00C163A6">
      <w:pPr>
        <w:rPr>
          <w:color w:val="000000"/>
          <w:sz w:val="20"/>
          <w:szCs w:val="20"/>
        </w:rPr>
      </w:pPr>
      <w:r>
        <w:rPr>
          <w:color w:val="000000"/>
          <w:sz w:val="20"/>
          <w:szCs w:val="20"/>
        </w:rPr>
        <w:t xml:space="preserve">Therefore, we propose to fall back to the usual way of handling </w:t>
      </w:r>
      <w:r w:rsidR="00576FD7">
        <w:rPr>
          <w:color w:val="000000"/>
          <w:sz w:val="20"/>
          <w:szCs w:val="20"/>
        </w:rPr>
        <w:t xml:space="preserve">such a situation </w:t>
      </w:r>
      <w:r>
        <w:rPr>
          <w:color w:val="000000"/>
          <w:sz w:val="20"/>
          <w:szCs w:val="20"/>
        </w:rPr>
        <w:t>in RAN4</w:t>
      </w:r>
      <w:r w:rsidR="00576FD7">
        <w:rPr>
          <w:color w:val="000000"/>
          <w:sz w:val="20"/>
          <w:szCs w:val="20"/>
        </w:rPr>
        <w:t>, which is</w:t>
      </w:r>
      <w:r>
        <w:rPr>
          <w:color w:val="000000"/>
          <w:sz w:val="20"/>
          <w:szCs w:val="20"/>
        </w:rPr>
        <w:t xml:space="preserve"> if the side conditions are violated, the corresponding requirement is not applicable.</w:t>
      </w:r>
    </w:p>
    <w:p w14:paraId="53E6AE01" w14:textId="77777777" w:rsidR="00FA5F0C" w:rsidRDefault="00FA5F0C" w:rsidP="00FA5F0C">
      <w:pPr>
        <w:rPr>
          <w:color w:val="000000"/>
          <w:sz w:val="20"/>
          <w:szCs w:val="20"/>
          <w:lang w:val="en-GB"/>
        </w:rPr>
      </w:pPr>
    </w:p>
    <w:p w14:paraId="62AFAF0A" w14:textId="65C30F21" w:rsidR="00B32B3E" w:rsidRDefault="00B32B3E" w:rsidP="00B32B3E">
      <w:pPr>
        <w:spacing w:before="100" w:beforeAutospacing="1" w:after="100"/>
        <w:rPr>
          <w:b/>
          <w:bCs/>
          <w:i/>
          <w:iCs/>
          <w:sz w:val="20"/>
          <w:szCs w:val="20"/>
        </w:rPr>
      </w:pPr>
      <w:r w:rsidRPr="004E0E90">
        <w:rPr>
          <w:b/>
          <w:bCs/>
          <w:i/>
          <w:iCs/>
          <w:sz w:val="20"/>
          <w:szCs w:val="20"/>
        </w:rPr>
        <w:lastRenderedPageBreak/>
        <w:t xml:space="preserve">Proposal </w:t>
      </w:r>
      <w:r w:rsidR="004E3B83">
        <w:rPr>
          <w:b/>
          <w:bCs/>
          <w:i/>
          <w:iCs/>
          <w:sz w:val="20"/>
          <w:szCs w:val="20"/>
        </w:rPr>
        <w:t>1</w:t>
      </w:r>
      <w:r w:rsidRPr="004E0E90">
        <w:rPr>
          <w:b/>
          <w:bCs/>
          <w:i/>
          <w:iCs/>
          <w:sz w:val="20"/>
          <w:szCs w:val="20"/>
        </w:rPr>
        <w:t xml:space="preserve">: </w:t>
      </w:r>
      <w:r w:rsidR="004C6AF7" w:rsidRPr="004C6AF7">
        <w:rPr>
          <w:b/>
          <w:bCs/>
          <w:i/>
          <w:iCs/>
          <w:sz w:val="20"/>
          <w:szCs w:val="20"/>
        </w:rPr>
        <w:t xml:space="preserve">When the side conditions are violated, the corresponding requirement is not applicable. </w:t>
      </w:r>
    </w:p>
    <w:p w14:paraId="151575D2" w14:textId="77777777" w:rsidR="00B32B3E" w:rsidRDefault="00B32B3E" w:rsidP="00C163A6">
      <w:pPr>
        <w:rPr>
          <w:color w:val="000000"/>
          <w:sz w:val="20"/>
          <w:szCs w:val="20"/>
        </w:rPr>
      </w:pPr>
    </w:p>
    <w:p w14:paraId="0B768826" w14:textId="7ECFBD5A" w:rsidR="003F5467" w:rsidRDefault="003F5467" w:rsidP="003F5467">
      <w:pPr>
        <w:pStyle w:val="Heading2"/>
      </w:pPr>
      <w:r>
        <w:t>2.</w:t>
      </w:r>
      <w:r w:rsidR="00702D8B">
        <w:t>2</w:t>
      </w:r>
      <w:r>
        <w:t xml:space="preserve"> </w:t>
      </w:r>
      <w:r w:rsidR="00702D8B">
        <w:t>UE capability</w:t>
      </w:r>
    </w:p>
    <w:p w14:paraId="5D51DCB7" w14:textId="65C250D1" w:rsidR="003F5467" w:rsidRDefault="00B2198A" w:rsidP="003F5467">
      <w:pPr>
        <w:rPr>
          <w:color w:val="000000"/>
          <w:sz w:val="20"/>
          <w:szCs w:val="20"/>
          <w:lang w:val="en-GB"/>
        </w:rPr>
      </w:pPr>
      <w:r>
        <w:rPr>
          <w:color w:val="000000"/>
          <w:sz w:val="20"/>
          <w:szCs w:val="20"/>
          <w:lang w:val="en-GB"/>
        </w:rPr>
        <w:t>Two UE capabilities should be specified.</w:t>
      </w:r>
    </w:p>
    <w:p w14:paraId="02279ACB" w14:textId="77777777" w:rsidR="00B2198A" w:rsidRDefault="00B2198A" w:rsidP="003F5467">
      <w:pPr>
        <w:rPr>
          <w:color w:val="000000"/>
          <w:sz w:val="20"/>
          <w:szCs w:val="20"/>
          <w:lang w:val="en-GB"/>
        </w:rPr>
      </w:pPr>
    </w:p>
    <w:p w14:paraId="3490C478" w14:textId="30882BB8" w:rsidR="00B2198A" w:rsidRPr="00795605" w:rsidRDefault="00DD7FBF" w:rsidP="003F5467">
      <w:pPr>
        <w:rPr>
          <w:color w:val="000000"/>
          <w:sz w:val="20"/>
          <w:szCs w:val="20"/>
          <w:u w:val="single"/>
          <w:lang w:val="en-GB"/>
        </w:rPr>
      </w:pPr>
      <w:r w:rsidRPr="00795605">
        <w:rPr>
          <w:color w:val="000000"/>
          <w:sz w:val="20"/>
          <w:szCs w:val="20"/>
          <w:u w:val="single"/>
          <w:lang w:val="en-GB"/>
        </w:rPr>
        <w:t xml:space="preserve">UE </w:t>
      </w:r>
      <w:r w:rsidR="00B2198A" w:rsidRPr="00795605">
        <w:rPr>
          <w:color w:val="000000"/>
          <w:sz w:val="20"/>
          <w:szCs w:val="20"/>
          <w:u w:val="single"/>
          <w:lang w:val="en-GB"/>
        </w:rPr>
        <w:t>Cap</w:t>
      </w:r>
      <w:r w:rsidRPr="00795605">
        <w:rPr>
          <w:color w:val="000000"/>
          <w:sz w:val="20"/>
          <w:szCs w:val="20"/>
          <w:u w:val="single"/>
          <w:lang w:val="en-GB"/>
        </w:rPr>
        <w:t>ability 1:  Simultaneous reception of data and L1 measurement</w:t>
      </w:r>
    </w:p>
    <w:p w14:paraId="30021F1D" w14:textId="77777777" w:rsidR="003F5467" w:rsidRDefault="003F5467" w:rsidP="003F5467">
      <w:pPr>
        <w:rPr>
          <w:color w:val="000000"/>
          <w:sz w:val="20"/>
          <w:szCs w:val="20"/>
        </w:rPr>
      </w:pPr>
    </w:p>
    <w:p w14:paraId="59DD2EFB" w14:textId="50E7F3D4" w:rsidR="00B2198A" w:rsidRDefault="00DD7FBF" w:rsidP="00B2198A">
      <w:pPr>
        <w:rPr>
          <w:color w:val="000000"/>
          <w:sz w:val="20"/>
          <w:szCs w:val="20"/>
          <w:lang w:val="en-GB"/>
        </w:rPr>
      </w:pPr>
      <w:r>
        <w:rPr>
          <w:color w:val="000000"/>
          <w:sz w:val="20"/>
          <w:szCs w:val="20"/>
        </w:rPr>
        <w:t>T</w:t>
      </w:r>
      <w:r w:rsidR="00B2198A">
        <w:rPr>
          <w:color w:val="000000"/>
          <w:sz w:val="20"/>
          <w:szCs w:val="20"/>
          <w:lang w:val="en-GB"/>
        </w:rPr>
        <w:t>he UE capability “</w:t>
      </w:r>
      <w:r w:rsidR="00B2198A" w:rsidRPr="00CC742A">
        <w:rPr>
          <w:color w:val="000000"/>
          <w:sz w:val="20"/>
          <w:szCs w:val="20"/>
          <w:lang w:val="en-GB"/>
        </w:rPr>
        <w:t>simultaneousReceptionDiffTypeD-r16</w:t>
      </w:r>
      <w:r w:rsidR="00B2198A">
        <w:rPr>
          <w:color w:val="000000"/>
          <w:sz w:val="20"/>
          <w:szCs w:val="20"/>
          <w:lang w:val="en-GB"/>
        </w:rPr>
        <w:t xml:space="preserve">” only indicates </w:t>
      </w:r>
      <w:r w:rsidR="00B2198A" w:rsidRPr="00CC742A">
        <w:rPr>
          <w:color w:val="000000"/>
          <w:sz w:val="20"/>
          <w:szCs w:val="20"/>
          <w:lang w:val="en-GB"/>
        </w:rPr>
        <w:t xml:space="preserve">whether the UE supports simultaneous reception </w:t>
      </w:r>
      <w:r w:rsidR="00B2198A">
        <w:rPr>
          <w:color w:val="000000"/>
          <w:sz w:val="20"/>
          <w:szCs w:val="20"/>
          <w:lang w:val="en-GB"/>
        </w:rPr>
        <w:t xml:space="preserve">of PDSCH </w:t>
      </w:r>
      <w:r w:rsidR="00B2198A" w:rsidRPr="00CC742A">
        <w:rPr>
          <w:color w:val="000000"/>
          <w:sz w:val="20"/>
          <w:szCs w:val="20"/>
          <w:lang w:val="en-GB"/>
        </w:rPr>
        <w:t>with different QCL Type</w:t>
      </w:r>
      <w:r w:rsidR="00B2198A">
        <w:rPr>
          <w:color w:val="000000"/>
          <w:sz w:val="20"/>
          <w:szCs w:val="20"/>
          <w:lang w:val="en-GB"/>
        </w:rPr>
        <w:t xml:space="preserve"> </w:t>
      </w:r>
      <w:r w:rsidR="00B2198A" w:rsidRPr="00CC742A">
        <w:rPr>
          <w:color w:val="000000"/>
          <w:sz w:val="20"/>
          <w:szCs w:val="20"/>
          <w:lang w:val="en-GB"/>
        </w:rPr>
        <w:t>D reference signal</w:t>
      </w:r>
      <w:r w:rsidR="00B2198A">
        <w:rPr>
          <w:color w:val="000000"/>
          <w:sz w:val="20"/>
          <w:szCs w:val="20"/>
          <w:lang w:val="en-GB"/>
        </w:rPr>
        <w:t xml:space="preserve"> and does not indicate whether the UE can support s</w:t>
      </w:r>
      <w:r w:rsidR="00B2198A" w:rsidRPr="00CC742A">
        <w:rPr>
          <w:color w:val="000000"/>
          <w:sz w:val="20"/>
          <w:szCs w:val="20"/>
          <w:lang w:val="en-GB"/>
        </w:rPr>
        <w:t>imultaneous reception of data and L1 measurement</w:t>
      </w:r>
      <w:r w:rsidR="00B2198A">
        <w:rPr>
          <w:color w:val="000000"/>
          <w:sz w:val="20"/>
          <w:szCs w:val="20"/>
          <w:lang w:val="en-GB"/>
        </w:rPr>
        <w:t xml:space="preserve">. </w:t>
      </w:r>
    </w:p>
    <w:p w14:paraId="1560386A" w14:textId="77777777" w:rsidR="00B2198A" w:rsidRDefault="00B2198A" w:rsidP="00B2198A">
      <w:pPr>
        <w:rPr>
          <w:color w:val="000000"/>
          <w:sz w:val="20"/>
          <w:szCs w:val="20"/>
          <w:lang w:val="en-GB"/>
        </w:rPr>
      </w:pPr>
    </w:p>
    <w:p w14:paraId="53076535" w14:textId="2C94F1EC" w:rsidR="00B2198A" w:rsidRDefault="00B2198A" w:rsidP="00B2198A">
      <w:pPr>
        <w:rPr>
          <w:color w:val="000000"/>
          <w:sz w:val="20"/>
          <w:szCs w:val="20"/>
          <w:lang w:val="en-GB"/>
        </w:rPr>
      </w:pPr>
      <w:r>
        <w:rPr>
          <w:color w:val="000000"/>
          <w:sz w:val="20"/>
          <w:szCs w:val="20"/>
          <w:lang w:val="en-GB"/>
        </w:rPr>
        <w:t>In the meantime, it was agreed that simultaneous reception includes data and RS case</w:t>
      </w:r>
      <w:r w:rsidR="00795605">
        <w:rPr>
          <w:color w:val="000000"/>
          <w:sz w:val="20"/>
          <w:szCs w:val="20"/>
          <w:lang w:val="en-GB"/>
        </w:rPr>
        <w:t xml:space="preserve">. </w:t>
      </w:r>
      <w:r>
        <w:rPr>
          <w:color w:val="000000"/>
          <w:sz w:val="20"/>
          <w:szCs w:val="20"/>
          <w:lang w:val="en-GB"/>
        </w:rPr>
        <w:t>Thus, a new UE capability is needed to indicate whether the UE can support s</w:t>
      </w:r>
      <w:r w:rsidRPr="00CC742A">
        <w:rPr>
          <w:color w:val="000000"/>
          <w:sz w:val="20"/>
          <w:szCs w:val="20"/>
          <w:lang w:val="en-GB"/>
        </w:rPr>
        <w:t>imultaneous reception of data and L1 measurement</w:t>
      </w:r>
      <w:r>
        <w:rPr>
          <w:color w:val="000000"/>
          <w:sz w:val="20"/>
          <w:szCs w:val="20"/>
          <w:lang w:val="en-GB"/>
        </w:rPr>
        <w:t>.</w:t>
      </w:r>
    </w:p>
    <w:p w14:paraId="5DC29677" w14:textId="77777777" w:rsidR="00B2198A" w:rsidRDefault="00B2198A" w:rsidP="00B2198A">
      <w:pPr>
        <w:rPr>
          <w:color w:val="000000"/>
          <w:sz w:val="20"/>
          <w:szCs w:val="20"/>
          <w:lang w:val="en-GB"/>
        </w:rPr>
      </w:pPr>
    </w:p>
    <w:p w14:paraId="0D218C89" w14:textId="3A30DC58" w:rsidR="00795605" w:rsidRPr="00795605" w:rsidRDefault="00795605" w:rsidP="00795605">
      <w:pPr>
        <w:rPr>
          <w:color w:val="000000"/>
          <w:sz w:val="20"/>
          <w:szCs w:val="20"/>
          <w:u w:val="single"/>
          <w:lang w:val="en-GB"/>
        </w:rPr>
      </w:pPr>
      <w:r w:rsidRPr="00795605">
        <w:rPr>
          <w:color w:val="000000"/>
          <w:sz w:val="20"/>
          <w:szCs w:val="20"/>
          <w:u w:val="single"/>
          <w:lang w:val="en-GB"/>
        </w:rPr>
        <w:t xml:space="preserve">UE Capability </w:t>
      </w:r>
      <w:r>
        <w:rPr>
          <w:color w:val="000000"/>
          <w:sz w:val="20"/>
          <w:szCs w:val="20"/>
          <w:u w:val="single"/>
          <w:lang w:val="en-GB"/>
        </w:rPr>
        <w:t>2</w:t>
      </w:r>
      <w:r w:rsidRPr="00795605">
        <w:rPr>
          <w:color w:val="000000"/>
          <w:sz w:val="20"/>
          <w:szCs w:val="20"/>
          <w:u w:val="single"/>
          <w:lang w:val="en-GB"/>
        </w:rPr>
        <w:t xml:space="preserve">:  </w:t>
      </w:r>
      <w:r w:rsidR="00871049" w:rsidRPr="00871049">
        <w:rPr>
          <w:color w:val="000000"/>
          <w:sz w:val="20"/>
          <w:szCs w:val="20"/>
          <w:u w:val="single"/>
          <w:lang w:val="en-GB"/>
        </w:rPr>
        <w:t xml:space="preserve">TCI state switching </w:t>
      </w:r>
      <w:proofErr w:type="gramStart"/>
      <w:r w:rsidR="00871049" w:rsidRPr="00871049">
        <w:rPr>
          <w:color w:val="000000"/>
          <w:sz w:val="20"/>
          <w:szCs w:val="20"/>
          <w:u w:val="single"/>
          <w:lang w:val="en-GB"/>
        </w:rPr>
        <w:t>independence</w:t>
      </w:r>
      <w:proofErr w:type="gramEnd"/>
    </w:p>
    <w:p w14:paraId="308D00C3" w14:textId="77777777" w:rsidR="00871049" w:rsidRDefault="00871049" w:rsidP="00871049">
      <w:pPr>
        <w:autoSpaceDE w:val="0"/>
        <w:autoSpaceDN w:val="0"/>
        <w:adjustRightInd w:val="0"/>
        <w:jc w:val="both"/>
        <w:rPr>
          <w:color w:val="000000"/>
          <w:sz w:val="20"/>
          <w:szCs w:val="20"/>
        </w:rPr>
      </w:pPr>
    </w:p>
    <w:p w14:paraId="583F99B8" w14:textId="7DDFF17D" w:rsidR="00CE61F5" w:rsidRDefault="00CE61F5" w:rsidP="00871049">
      <w:pPr>
        <w:autoSpaceDE w:val="0"/>
        <w:autoSpaceDN w:val="0"/>
        <w:adjustRightInd w:val="0"/>
        <w:jc w:val="both"/>
        <w:rPr>
          <w:color w:val="000000"/>
          <w:sz w:val="20"/>
          <w:szCs w:val="20"/>
        </w:rPr>
      </w:pPr>
      <w:r>
        <w:rPr>
          <w:color w:val="000000"/>
          <w:sz w:val="20"/>
          <w:szCs w:val="20"/>
        </w:rPr>
        <w:t>The WF states:</w:t>
      </w:r>
    </w:p>
    <w:p w14:paraId="20F2A608" w14:textId="77777777" w:rsidR="00CE61F5" w:rsidRDefault="00CE61F5" w:rsidP="00871049">
      <w:pPr>
        <w:autoSpaceDE w:val="0"/>
        <w:autoSpaceDN w:val="0"/>
        <w:adjustRightInd w:val="0"/>
        <w:jc w:val="both"/>
        <w:rPr>
          <w:color w:val="000000"/>
          <w:sz w:val="20"/>
          <w:szCs w:val="20"/>
        </w:rPr>
      </w:pPr>
    </w:p>
    <w:p w14:paraId="38817A5F" w14:textId="77777777" w:rsidR="00CE61F5" w:rsidRPr="00CE61F5" w:rsidRDefault="00CE61F5" w:rsidP="00CE61F5">
      <w:pPr>
        <w:autoSpaceDE w:val="0"/>
        <w:autoSpaceDN w:val="0"/>
        <w:adjustRightInd w:val="0"/>
        <w:jc w:val="both"/>
        <w:rPr>
          <w:color w:val="000000"/>
          <w:sz w:val="20"/>
          <w:szCs w:val="20"/>
        </w:rPr>
      </w:pPr>
      <w:r w:rsidRPr="00CE61F5">
        <w:rPr>
          <w:color w:val="000000"/>
          <w:sz w:val="20"/>
          <w:szCs w:val="20"/>
        </w:rPr>
        <w:t>Issue 1-4-5: UE capability for indication of whether additional delay is needed in dual TCI state switching for multi-</w:t>
      </w:r>
      <w:proofErr w:type="gramStart"/>
      <w:r w:rsidRPr="00CE61F5">
        <w:rPr>
          <w:color w:val="000000"/>
          <w:sz w:val="20"/>
          <w:szCs w:val="20"/>
        </w:rPr>
        <w:t>Rx</w:t>
      </w:r>
      <w:proofErr w:type="gramEnd"/>
    </w:p>
    <w:p w14:paraId="5A405B76" w14:textId="77777777" w:rsidR="00CE61F5" w:rsidRPr="00CE61F5" w:rsidRDefault="00CE61F5" w:rsidP="00CE61F5">
      <w:pPr>
        <w:autoSpaceDE w:val="0"/>
        <w:autoSpaceDN w:val="0"/>
        <w:adjustRightInd w:val="0"/>
        <w:jc w:val="both"/>
        <w:rPr>
          <w:color w:val="000000"/>
          <w:sz w:val="20"/>
          <w:szCs w:val="20"/>
        </w:rPr>
      </w:pPr>
      <w:r w:rsidRPr="00CE61F5">
        <w:rPr>
          <w:color w:val="000000"/>
          <w:sz w:val="20"/>
          <w:szCs w:val="20"/>
        </w:rPr>
        <w:t>•</w:t>
      </w:r>
      <w:r w:rsidRPr="00CE61F5">
        <w:rPr>
          <w:color w:val="000000"/>
          <w:sz w:val="20"/>
          <w:szCs w:val="20"/>
        </w:rPr>
        <w:tab/>
        <w:t>FFS:</w:t>
      </w:r>
    </w:p>
    <w:p w14:paraId="5CFC7E29" w14:textId="7201AC9C" w:rsidR="00CE61F5" w:rsidRDefault="00CE61F5" w:rsidP="00CE61F5">
      <w:pPr>
        <w:autoSpaceDE w:val="0"/>
        <w:autoSpaceDN w:val="0"/>
        <w:adjustRightInd w:val="0"/>
        <w:ind w:left="284"/>
        <w:jc w:val="both"/>
        <w:rPr>
          <w:color w:val="000000"/>
          <w:sz w:val="20"/>
          <w:szCs w:val="20"/>
        </w:rPr>
      </w:pPr>
      <w:r w:rsidRPr="00CE61F5">
        <w:rPr>
          <w:color w:val="000000"/>
          <w:sz w:val="20"/>
          <w:szCs w:val="20"/>
        </w:rPr>
        <w:t>o</w:t>
      </w:r>
      <w:r w:rsidRPr="00CE61F5">
        <w:rPr>
          <w:color w:val="000000"/>
          <w:sz w:val="20"/>
          <w:szCs w:val="20"/>
        </w:rPr>
        <w:tab/>
      </w:r>
      <w:proofErr w:type="gramStart"/>
      <w:r w:rsidRPr="00CE61F5">
        <w:rPr>
          <w:color w:val="000000"/>
          <w:sz w:val="20"/>
          <w:szCs w:val="20"/>
        </w:rPr>
        <w:t>To</w:t>
      </w:r>
      <w:proofErr w:type="gramEnd"/>
      <w:r w:rsidRPr="00CE61F5">
        <w:rPr>
          <w:color w:val="000000"/>
          <w:sz w:val="20"/>
          <w:szCs w:val="20"/>
        </w:rPr>
        <w:t xml:space="preserve"> indicate whether additional delay is needed in dual TCI state switching. By default, a UE should support dual TCI state switching without the additional delay.</w:t>
      </w:r>
    </w:p>
    <w:p w14:paraId="5D0790A7" w14:textId="77777777" w:rsidR="00CE61F5" w:rsidRDefault="00CE61F5" w:rsidP="00871049">
      <w:pPr>
        <w:autoSpaceDE w:val="0"/>
        <w:autoSpaceDN w:val="0"/>
        <w:adjustRightInd w:val="0"/>
        <w:jc w:val="both"/>
        <w:rPr>
          <w:color w:val="000000"/>
          <w:sz w:val="20"/>
          <w:szCs w:val="20"/>
        </w:rPr>
      </w:pPr>
    </w:p>
    <w:p w14:paraId="2EF82295" w14:textId="134E45F6" w:rsidR="00871049" w:rsidRDefault="00871049" w:rsidP="00871049">
      <w:pPr>
        <w:autoSpaceDE w:val="0"/>
        <w:autoSpaceDN w:val="0"/>
        <w:adjustRightInd w:val="0"/>
        <w:jc w:val="both"/>
        <w:rPr>
          <w:color w:val="000000"/>
          <w:sz w:val="20"/>
          <w:szCs w:val="20"/>
        </w:rPr>
      </w:pPr>
      <w:r>
        <w:rPr>
          <w:color w:val="000000"/>
          <w:sz w:val="20"/>
          <w:szCs w:val="20"/>
        </w:rPr>
        <w:t xml:space="preserve">As detailed in [3], </w:t>
      </w:r>
      <w:r w:rsidR="00CE61F5">
        <w:rPr>
          <w:color w:val="000000"/>
          <w:sz w:val="20"/>
          <w:szCs w:val="20"/>
        </w:rPr>
        <w:t xml:space="preserve">we would like to revise our proposed capability because for DCI based TCI switching, the additional delay can be absorbed in the existing </w:t>
      </w:r>
      <w:r w:rsidR="00CE61F5" w:rsidRPr="00CE61F5">
        <w:rPr>
          <w:color w:val="000000"/>
          <w:sz w:val="20"/>
          <w:szCs w:val="20"/>
        </w:rPr>
        <w:t>UE capability “</w:t>
      </w:r>
      <w:proofErr w:type="spellStart"/>
      <w:r w:rsidR="00CE61F5" w:rsidRPr="00CE61F5">
        <w:rPr>
          <w:color w:val="000000"/>
          <w:sz w:val="20"/>
          <w:szCs w:val="20"/>
        </w:rPr>
        <w:t>timeDurationForQCL</w:t>
      </w:r>
      <w:proofErr w:type="spellEnd"/>
      <w:r w:rsidR="00CE61F5">
        <w:rPr>
          <w:color w:val="000000"/>
          <w:sz w:val="20"/>
          <w:szCs w:val="20"/>
        </w:rPr>
        <w:t>.</w:t>
      </w:r>
      <w:r w:rsidR="00CE61F5" w:rsidRPr="00CE61F5">
        <w:rPr>
          <w:color w:val="000000"/>
          <w:sz w:val="20"/>
          <w:szCs w:val="20"/>
        </w:rPr>
        <w:t xml:space="preserve">” </w:t>
      </w:r>
      <w:r w:rsidR="00CE61F5">
        <w:rPr>
          <w:color w:val="000000"/>
          <w:sz w:val="20"/>
          <w:szCs w:val="20"/>
        </w:rPr>
        <w:t xml:space="preserve"> Therefore, </w:t>
      </w:r>
      <w:r>
        <w:rPr>
          <w:color w:val="000000"/>
          <w:sz w:val="20"/>
          <w:szCs w:val="20"/>
        </w:rPr>
        <w:t xml:space="preserve">to address </w:t>
      </w:r>
      <w:r w:rsidRPr="00871049">
        <w:rPr>
          <w:color w:val="000000"/>
          <w:sz w:val="20"/>
          <w:szCs w:val="20"/>
        </w:rPr>
        <w:t>TCI state switching independence</w:t>
      </w:r>
      <w:r>
        <w:rPr>
          <w:color w:val="000000"/>
          <w:sz w:val="20"/>
          <w:szCs w:val="20"/>
        </w:rPr>
        <w:t xml:space="preserve"> in some UE implementations, a UE capability </w:t>
      </w:r>
      <w:r w:rsidR="00CE61F5">
        <w:rPr>
          <w:color w:val="000000"/>
          <w:sz w:val="20"/>
          <w:szCs w:val="20"/>
        </w:rPr>
        <w:t xml:space="preserve">for MAC CE based TCI switching </w:t>
      </w:r>
      <w:r>
        <w:rPr>
          <w:color w:val="000000"/>
          <w:sz w:val="20"/>
          <w:szCs w:val="20"/>
        </w:rPr>
        <w:t xml:space="preserve">is proposed. By default, a UE should support </w:t>
      </w:r>
      <w:r w:rsidR="00E30687">
        <w:rPr>
          <w:color w:val="000000"/>
          <w:sz w:val="20"/>
          <w:szCs w:val="20"/>
        </w:rPr>
        <w:t xml:space="preserve">MAC CE based </w:t>
      </w:r>
      <w:r>
        <w:rPr>
          <w:color w:val="000000"/>
          <w:sz w:val="20"/>
          <w:szCs w:val="20"/>
        </w:rPr>
        <w:t>dual TCI state switching without the additional delay.</w:t>
      </w:r>
    </w:p>
    <w:p w14:paraId="77F0AE9B" w14:textId="77777777" w:rsidR="00871049" w:rsidRDefault="00871049" w:rsidP="00B2198A">
      <w:pPr>
        <w:rPr>
          <w:color w:val="000000"/>
          <w:sz w:val="20"/>
          <w:szCs w:val="20"/>
          <w:lang w:val="en-GB"/>
        </w:rPr>
      </w:pPr>
    </w:p>
    <w:p w14:paraId="0D1348DF" w14:textId="0EB22985" w:rsidR="00B2198A" w:rsidRPr="00CF0171" w:rsidRDefault="00B2198A" w:rsidP="00B2198A">
      <w:pPr>
        <w:spacing w:before="100" w:beforeAutospacing="1" w:after="100"/>
        <w:rPr>
          <w:b/>
          <w:bCs/>
          <w:i/>
          <w:iCs/>
          <w:sz w:val="20"/>
          <w:szCs w:val="20"/>
        </w:rPr>
      </w:pPr>
      <w:r>
        <w:rPr>
          <w:b/>
          <w:bCs/>
          <w:i/>
          <w:iCs/>
          <w:sz w:val="20"/>
          <w:szCs w:val="20"/>
        </w:rPr>
        <w:t xml:space="preserve">Proposal </w:t>
      </w:r>
      <w:r w:rsidR="00470585">
        <w:rPr>
          <w:b/>
          <w:bCs/>
          <w:i/>
          <w:iCs/>
          <w:sz w:val="20"/>
          <w:szCs w:val="20"/>
        </w:rPr>
        <w:t>2</w:t>
      </w:r>
      <w:r w:rsidRPr="004E0E90">
        <w:rPr>
          <w:b/>
          <w:bCs/>
          <w:i/>
          <w:iCs/>
          <w:sz w:val="20"/>
          <w:szCs w:val="20"/>
        </w:rPr>
        <w:t xml:space="preserve">: </w:t>
      </w:r>
      <w:r w:rsidR="00470585">
        <w:rPr>
          <w:b/>
          <w:bCs/>
          <w:i/>
          <w:iCs/>
          <w:sz w:val="20"/>
          <w:szCs w:val="20"/>
        </w:rPr>
        <w:t xml:space="preserve">It is proposed to specify two UE capabilities. One is used </w:t>
      </w:r>
      <w:r w:rsidRPr="000C59B4">
        <w:rPr>
          <w:b/>
          <w:bCs/>
          <w:i/>
          <w:iCs/>
          <w:sz w:val="20"/>
          <w:szCs w:val="20"/>
        </w:rPr>
        <w:t>to indicate whether the UE can support simultaneous reception of data and L1 measurement</w:t>
      </w:r>
      <w:r w:rsidR="00470585">
        <w:rPr>
          <w:b/>
          <w:bCs/>
          <w:i/>
          <w:iCs/>
          <w:sz w:val="20"/>
          <w:szCs w:val="20"/>
        </w:rPr>
        <w:t xml:space="preserve">, and the other is used to indicate </w:t>
      </w:r>
      <w:r w:rsidR="00470585" w:rsidRPr="00470585">
        <w:rPr>
          <w:b/>
          <w:bCs/>
          <w:i/>
          <w:iCs/>
          <w:sz w:val="20"/>
          <w:szCs w:val="20"/>
        </w:rPr>
        <w:t xml:space="preserve">whether additional delay is needed </w:t>
      </w:r>
      <w:r w:rsidR="00470585">
        <w:rPr>
          <w:b/>
          <w:bCs/>
          <w:i/>
          <w:iCs/>
          <w:sz w:val="20"/>
          <w:szCs w:val="20"/>
        </w:rPr>
        <w:t xml:space="preserve">in </w:t>
      </w:r>
      <w:r w:rsidR="00577611">
        <w:rPr>
          <w:b/>
          <w:bCs/>
          <w:i/>
          <w:iCs/>
          <w:sz w:val="20"/>
          <w:szCs w:val="20"/>
        </w:rPr>
        <w:t xml:space="preserve">MAC CE based </w:t>
      </w:r>
      <w:r w:rsidR="00470585">
        <w:rPr>
          <w:b/>
          <w:bCs/>
          <w:i/>
          <w:iCs/>
          <w:sz w:val="20"/>
          <w:szCs w:val="20"/>
        </w:rPr>
        <w:t>dual TCI state switching</w:t>
      </w:r>
      <w:r w:rsidR="00470585" w:rsidRPr="00470585">
        <w:rPr>
          <w:b/>
          <w:bCs/>
          <w:i/>
          <w:iCs/>
          <w:sz w:val="20"/>
          <w:szCs w:val="20"/>
        </w:rPr>
        <w:t xml:space="preserve">. By default, a UE should support </w:t>
      </w:r>
      <w:r w:rsidR="00577611">
        <w:rPr>
          <w:b/>
          <w:bCs/>
          <w:i/>
          <w:iCs/>
          <w:sz w:val="20"/>
          <w:szCs w:val="20"/>
        </w:rPr>
        <w:t xml:space="preserve">MAC CE based </w:t>
      </w:r>
      <w:r w:rsidR="00470585" w:rsidRPr="00470585">
        <w:rPr>
          <w:b/>
          <w:bCs/>
          <w:i/>
          <w:iCs/>
          <w:sz w:val="20"/>
          <w:szCs w:val="20"/>
        </w:rPr>
        <w:t>dual TCI state switching without the additional delay</w:t>
      </w:r>
      <w:r w:rsidR="00470585">
        <w:rPr>
          <w:b/>
          <w:bCs/>
          <w:i/>
          <w:iCs/>
          <w:sz w:val="20"/>
          <w:szCs w:val="20"/>
        </w:rPr>
        <w:t>.</w:t>
      </w:r>
      <w:r w:rsidR="00577611">
        <w:rPr>
          <w:b/>
          <w:bCs/>
          <w:i/>
          <w:iCs/>
          <w:sz w:val="20"/>
          <w:szCs w:val="20"/>
        </w:rPr>
        <w:t xml:space="preserve"> </w:t>
      </w:r>
    </w:p>
    <w:p w14:paraId="6E9CABC5" w14:textId="77777777" w:rsidR="003F5467" w:rsidRPr="00B32B3E" w:rsidRDefault="003F5467"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19ADD13F" w14:textId="77777777" w:rsidR="002D0FDB" w:rsidRDefault="002D0FDB" w:rsidP="002D0FDB">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sidRPr="004C6AF7">
        <w:rPr>
          <w:b/>
          <w:bCs/>
          <w:i/>
          <w:iCs/>
          <w:sz w:val="20"/>
          <w:szCs w:val="20"/>
        </w:rPr>
        <w:t xml:space="preserve">When the side conditions are violated, the corresponding requirement is not applicable. </w:t>
      </w:r>
    </w:p>
    <w:p w14:paraId="2B18225C" w14:textId="77777777" w:rsidR="002D0FDB" w:rsidRPr="00CF0171" w:rsidRDefault="002D0FDB" w:rsidP="002D0FDB">
      <w:pPr>
        <w:spacing w:before="100" w:beforeAutospacing="1" w:after="100"/>
        <w:rPr>
          <w:b/>
          <w:bCs/>
          <w:i/>
          <w:iCs/>
          <w:sz w:val="20"/>
          <w:szCs w:val="20"/>
        </w:rPr>
      </w:pPr>
      <w:r>
        <w:rPr>
          <w:b/>
          <w:bCs/>
          <w:i/>
          <w:iCs/>
          <w:sz w:val="20"/>
          <w:szCs w:val="20"/>
        </w:rPr>
        <w:t>Proposal 2</w:t>
      </w:r>
      <w:r w:rsidRPr="004E0E90">
        <w:rPr>
          <w:b/>
          <w:bCs/>
          <w:i/>
          <w:iCs/>
          <w:sz w:val="20"/>
          <w:szCs w:val="20"/>
        </w:rPr>
        <w:t xml:space="preserve">: </w:t>
      </w:r>
      <w:r>
        <w:rPr>
          <w:b/>
          <w:bCs/>
          <w:i/>
          <w:iCs/>
          <w:sz w:val="20"/>
          <w:szCs w:val="20"/>
        </w:rPr>
        <w:t xml:space="preserve">It is proposed to specify two UE capabilities. One is used </w:t>
      </w:r>
      <w:r w:rsidRPr="000C59B4">
        <w:rPr>
          <w:b/>
          <w:bCs/>
          <w:i/>
          <w:iCs/>
          <w:sz w:val="20"/>
          <w:szCs w:val="20"/>
        </w:rPr>
        <w:t>to indicate whether the UE can support simultaneous reception of data and L1 measurement</w:t>
      </w:r>
      <w:r>
        <w:rPr>
          <w:b/>
          <w:bCs/>
          <w:i/>
          <w:iCs/>
          <w:sz w:val="20"/>
          <w:szCs w:val="20"/>
        </w:rPr>
        <w:t xml:space="preserve">, and the other is used to indicate </w:t>
      </w:r>
      <w:r w:rsidRPr="00470585">
        <w:rPr>
          <w:b/>
          <w:bCs/>
          <w:i/>
          <w:iCs/>
          <w:sz w:val="20"/>
          <w:szCs w:val="20"/>
        </w:rPr>
        <w:t xml:space="preserve">whether additional delay is needed </w:t>
      </w:r>
      <w:r>
        <w:rPr>
          <w:b/>
          <w:bCs/>
          <w:i/>
          <w:iCs/>
          <w:sz w:val="20"/>
          <w:szCs w:val="20"/>
        </w:rPr>
        <w:t>in MAC CE based dual TCI state switching</w:t>
      </w:r>
      <w:r w:rsidRPr="00470585">
        <w:rPr>
          <w:b/>
          <w:bCs/>
          <w:i/>
          <w:iCs/>
          <w:sz w:val="20"/>
          <w:szCs w:val="20"/>
        </w:rPr>
        <w:t xml:space="preserve">. By default, a UE should support </w:t>
      </w:r>
      <w:r>
        <w:rPr>
          <w:b/>
          <w:bCs/>
          <w:i/>
          <w:iCs/>
          <w:sz w:val="20"/>
          <w:szCs w:val="20"/>
        </w:rPr>
        <w:t xml:space="preserve">MAC CE based </w:t>
      </w:r>
      <w:r w:rsidRPr="00470585">
        <w:rPr>
          <w:b/>
          <w:bCs/>
          <w:i/>
          <w:iCs/>
          <w:sz w:val="20"/>
          <w:szCs w:val="20"/>
        </w:rPr>
        <w:t>dual TCI state switching without the additional delay</w:t>
      </w:r>
      <w:r>
        <w:rPr>
          <w:b/>
          <w:bCs/>
          <w:i/>
          <w:iCs/>
          <w:sz w:val="20"/>
          <w:szCs w:val="20"/>
        </w:rPr>
        <w:t xml:space="preserve">. </w:t>
      </w:r>
    </w:p>
    <w:p w14:paraId="4D133CD8" w14:textId="4D8B9443" w:rsidR="00276EE4" w:rsidRPr="003A0483" w:rsidRDefault="005E69AE" w:rsidP="00BC4103">
      <w:pPr>
        <w:pStyle w:val="Heading1"/>
      </w:pPr>
      <w:r>
        <w:t>4</w:t>
      </w:r>
      <w:r>
        <w:tab/>
        <w:t>References</w:t>
      </w:r>
    </w:p>
    <w:p w14:paraId="37ACD691" w14:textId="00FB6160" w:rsidR="009C49E3" w:rsidRDefault="008B7169" w:rsidP="000C0BC2">
      <w:pPr>
        <w:pStyle w:val="EX"/>
        <w:rPr>
          <w:sz w:val="20"/>
          <w:szCs w:val="20"/>
        </w:rPr>
      </w:pPr>
      <w:bookmarkStart w:id="4" w:name="_Ref13820109"/>
      <w:r w:rsidRPr="008B7169">
        <w:rPr>
          <w:sz w:val="20"/>
          <w:szCs w:val="20"/>
        </w:rPr>
        <w:t>R4-23</w:t>
      </w:r>
      <w:r w:rsidR="00D86D4D">
        <w:rPr>
          <w:sz w:val="20"/>
          <w:szCs w:val="20"/>
        </w:rPr>
        <w:t>1</w:t>
      </w:r>
      <w:r w:rsidR="00EC1F15">
        <w:rPr>
          <w:sz w:val="20"/>
          <w:szCs w:val="20"/>
        </w:rPr>
        <w:t>4477</w:t>
      </w:r>
      <w:r w:rsidR="00995869" w:rsidRPr="00D857BA">
        <w:rPr>
          <w:sz w:val="20"/>
          <w:szCs w:val="20"/>
        </w:rPr>
        <w:t>, "</w:t>
      </w:r>
      <w:r w:rsidR="00D86D4D" w:rsidRPr="00D86D4D">
        <w:rPr>
          <w:sz w:val="20"/>
          <w:szCs w:val="20"/>
        </w:rPr>
        <w:t>WF on NR FR2 multi-Rx chain DL reception RRM requirements (part 1)</w:t>
      </w:r>
      <w:r w:rsidR="00805370">
        <w:rPr>
          <w:sz w:val="20"/>
          <w:szCs w:val="20"/>
        </w:rPr>
        <w:t>,</w:t>
      </w:r>
      <w:r w:rsidR="00995869" w:rsidRPr="00D857BA">
        <w:rPr>
          <w:sz w:val="20"/>
          <w:szCs w:val="20"/>
        </w:rPr>
        <w:t xml:space="preserve">" </w:t>
      </w:r>
      <w:r w:rsidR="00805370">
        <w:rPr>
          <w:sz w:val="20"/>
          <w:szCs w:val="20"/>
        </w:rPr>
        <w:t>vivo</w:t>
      </w:r>
      <w:bookmarkEnd w:id="1"/>
      <w:bookmarkEnd w:id="4"/>
    </w:p>
    <w:p w14:paraId="62A4124E" w14:textId="52CBA148" w:rsidR="00795605" w:rsidRDefault="00795605" w:rsidP="00795605">
      <w:pPr>
        <w:pStyle w:val="EX"/>
        <w:rPr>
          <w:sz w:val="20"/>
          <w:szCs w:val="20"/>
        </w:rPr>
      </w:pPr>
      <w:r w:rsidRPr="00795605">
        <w:rPr>
          <w:sz w:val="20"/>
          <w:szCs w:val="20"/>
        </w:rPr>
        <w:t>R4-23</w:t>
      </w:r>
      <w:r w:rsidR="007970AD">
        <w:rPr>
          <w:sz w:val="20"/>
          <w:szCs w:val="20"/>
        </w:rPr>
        <w:t>11338</w:t>
      </w:r>
      <w:r w:rsidRPr="00795605">
        <w:rPr>
          <w:sz w:val="20"/>
          <w:szCs w:val="20"/>
        </w:rPr>
        <w:t xml:space="preserve">, "On TCI state switching for NR FR2 multi-Rx chain DL reception," </w:t>
      </w:r>
      <w:proofErr w:type="gramStart"/>
      <w:r>
        <w:rPr>
          <w:sz w:val="20"/>
          <w:szCs w:val="20"/>
        </w:rPr>
        <w:t>Apple</w:t>
      </w:r>
      <w:proofErr w:type="gramEnd"/>
    </w:p>
    <w:p w14:paraId="5CB4A99E" w14:textId="5A05AA60" w:rsidR="00CE61F5" w:rsidRPr="00CE61F5" w:rsidRDefault="00CE61F5" w:rsidP="00CE61F5">
      <w:pPr>
        <w:pStyle w:val="EX"/>
        <w:rPr>
          <w:sz w:val="20"/>
          <w:szCs w:val="20"/>
        </w:rPr>
      </w:pPr>
      <w:r w:rsidRPr="00795605">
        <w:rPr>
          <w:sz w:val="20"/>
          <w:szCs w:val="20"/>
        </w:rPr>
        <w:t>R4-23</w:t>
      </w:r>
      <w:r>
        <w:rPr>
          <w:sz w:val="20"/>
          <w:szCs w:val="20"/>
        </w:rPr>
        <w:t>15507</w:t>
      </w:r>
      <w:r w:rsidRPr="00795605">
        <w:rPr>
          <w:sz w:val="20"/>
          <w:szCs w:val="20"/>
        </w:rPr>
        <w:t xml:space="preserve">, "On TCI state switching for NR FR2 multi-Rx chain DL reception," </w:t>
      </w:r>
      <w:proofErr w:type="gramStart"/>
      <w:r>
        <w:rPr>
          <w:sz w:val="20"/>
          <w:szCs w:val="20"/>
        </w:rPr>
        <w:t>Apple</w:t>
      </w:r>
      <w:proofErr w:type="gramEnd"/>
    </w:p>
    <w:sectPr w:rsidR="00CE61F5" w:rsidRPr="00CE61F5"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1CC70" w14:textId="77777777" w:rsidR="002762FE" w:rsidRDefault="002762FE">
      <w:r>
        <w:separator/>
      </w:r>
    </w:p>
  </w:endnote>
  <w:endnote w:type="continuationSeparator" w:id="0">
    <w:p w14:paraId="73C016E8" w14:textId="77777777" w:rsidR="002762FE" w:rsidRDefault="0027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84AB" w14:textId="77777777" w:rsidR="002762FE" w:rsidRDefault="002762FE">
      <w:r>
        <w:separator/>
      </w:r>
    </w:p>
  </w:footnote>
  <w:footnote w:type="continuationSeparator" w:id="0">
    <w:p w14:paraId="39DE3FF3" w14:textId="77777777" w:rsidR="002762FE" w:rsidRDefault="0027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5"/>
  </w:num>
  <w:num w:numId="5" w16cid:durableId="1501116029">
    <w:abstractNumId w:val="3"/>
  </w:num>
  <w:num w:numId="6" w16cid:durableId="1775780724">
    <w:abstractNumId w:val="3"/>
  </w:num>
  <w:num w:numId="7" w16cid:durableId="2004430155">
    <w:abstractNumId w:val="23"/>
  </w:num>
  <w:num w:numId="8" w16cid:durableId="820000239">
    <w:abstractNumId w:val="6"/>
  </w:num>
  <w:num w:numId="9" w16cid:durableId="1418207271">
    <w:abstractNumId w:val="27"/>
  </w:num>
  <w:num w:numId="10" w16cid:durableId="1583371418">
    <w:abstractNumId w:val="32"/>
  </w:num>
  <w:num w:numId="11" w16cid:durableId="654532386">
    <w:abstractNumId w:val="16"/>
  </w:num>
  <w:num w:numId="12" w16cid:durableId="1304584639">
    <w:abstractNumId w:val="13"/>
  </w:num>
  <w:num w:numId="13" w16cid:durableId="721171787">
    <w:abstractNumId w:val="10"/>
  </w:num>
  <w:num w:numId="14" w16cid:durableId="1592349769">
    <w:abstractNumId w:val="31"/>
  </w:num>
  <w:num w:numId="15" w16cid:durableId="278998918">
    <w:abstractNumId w:val="19"/>
  </w:num>
  <w:num w:numId="16" w16cid:durableId="434713335">
    <w:abstractNumId w:val="29"/>
  </w:num>
  <w:num w:numId="17" w16cid:durableId="1786650561">
    <w:abstractNumId w:val="20"/>
  </w:num>
  <w:num w:numId="18" w16cid:durableId="119229966">
    <w:abstractNumId w:val="9"/>
  </w:num>
  <w:num w:numId="19" w16cid:durableId="773282714">
    <w:abstractNumId w:val="25"/>
  </w:num>
  <w:num w:numId="20" w16cid:durableId="1943295931">
    <w:abstractNumId w:val="1"/>
  </w:num>
  <w:num w:numId="21" w16cid:durableId="721640857">
    <w:abstractNumId w:val="38"/>
  </w:num>
  <w:num w:numId="22" w16cid:durableId="1167212164">
    <w:abstractNumId w:val="39"/>
  </w:num>
  <w:num w:numId="23" w16cid:durableId="240023206">
    <w:abstractNumId w:val="26"/>
  </w:num>
  <w:num w:numId="24" w16cid:durableId="191648044">
    <w:abstractNumId w:val="15"/>
  </w:num>
  <w:num w:numId="25" w16cid:durableId="473066965">
    <w:abstractNumId w:val="24"/>
  </w:num>
  <w:num w:numId="26" w16cid:durableId="1489638411">
    <w:abstractNumId w:val="22"/>
  </w:num>
  <w:num w:numId="27" w16cid:durableId="1422525457">
    <w:abstractNumId w:val="21"/>
  </w:num>
  <w:num w:numId="28" w16cid:durableId="653946618">
    <w:abstractNumId w:val="4"/>
  </w:num>
  <w:num w:numId="29" w16cid:durableId="1543327048">
    <w:abstractNumId w:val="40"/>
  </w:num>
  <w:num w:numId="30" w16cid:durableId="991716118">
    <w:abstractNumId w:val="17"/>
  </w:num>
  <w:num w:numId="31" w16cid:durableId="737675157">
    <w:abstractNumId w:val="18"/>
  </w:num>
  <w:num w:numId="32" w16cid:durableId="526335178">
    <w:abstractNumId w:val="12"/>
  </w:num>
  <w:num w:numId="33" w16cid:durableId="1432161911">
    <w:abstractNumId w:val="5"/>
  </w:num>
  <w:num w:numId="34" w16cid:durableId="463815305">
    <w:abstractNumId w:val="28"/>
  </w:num>
  <w:num w:numId="35" w16cid:durableId="1451046251">
    <w:abstractNumId w:val="37"/>
  </w:num>
  <w:num w:numId="36" w16cid:durableId="1500928002">
    <w:abstractNumId w:val="30"/>
  </w:num>
  <w:num w:numId="37" w16cid:durableId="481117822">
    <w:abstractNumId w:val="14"/>
  </w:num>
  <w:num w:numId="38" w16cid:durableId="1328439027">
    <w:abstractNumId w:val="34"/>
  </w:num>
  <w:num w:numId="39" w16cid:durableId="1425953717">
    <w:abstractNumId w:val="8"/>
  </w:num>
  <w:num w:numId="40" w16cid:durableId="813447360">
    <w:abstractNumId w:val="7"/>
  </w:num>
  <w:num w:numId="41" w16cid:durableId="1343387170">
    <w:abstractNumId w:val="11"/>
  </w:num>
  <w:num w:numId="42" w16cid:durableId="1060711445">
    <w:abstractNumId w:val="33"/>
  </w:num>
  <w:num w:numId="43" w16cid:durableId="114743541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62023"/>
    <w:rsid w:val="00063833"/>
    <w:rsid w:val="000644F8"/>
    <w:rsid w:val="000655A6"/>
    <w:rsid w:val="00071312"/>
    <w:rsid w:val="00077697"/>
    <w:rsid w:val="00080512"/>
    <w:rsid w:val="00082F48"/>
    <w:rsid w:val="00083414"/>
    <w:rsid w:val="00092DEA"/>
    <w:rsid w:val="0009500A"/>
    <w:rsid w:val="00096CD8"/>
    <w:rsid w:val="000A365D"/>
    <w:rsid w:val="000A46CB"/>
    <w:rsid w:val="000A68F3"/>
    <w:rsid w:val="000A6CCB"/>
    <w:rsid w:val="000B3303"/>
    <w:rsid w:val="000B4E6A"/>
    <w:rsid w:val="000B7599"/>
    <w:rsid w:val="000C0BC2"/>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5F0"/>
    <w:rsid w:val="002762FE"/>
    <w:rsid w:val="00276EE4"/>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44E2"/>
    <w:rsid w:val="00384F83"/>
    <w:rsid w:val="00392BEA"/>
    <w:rsid w:val="00397B56"/>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8182A"/>
    <w:rsid w:val="004826A9"/>
    <w:rsid w:val="004837BD"/>
    <w:rsid w:val="00483F31"/>
    <w:rsid w:val="004904C3"/>
    <w:rsid w:val="004A29F8"/>
    <w:rsid w:val="004A603D"/>
    <w:rsid w:val="004A6B02"/>
    <w:rsid w:val="004A71CF"/>
    <w:rsid w:val="004B0ECB"/>
    <w:rsid w:val="004C1601"/>
    <w:rsid w:val="004C21DF"/>
    <w:rsid w:val="004C5265"/>
    <w:rsid w:val="004C6AF7"/>
    <w:rsid w:val="004D3578"/>
    <w:rsid w:val="004D44A7"/>
    <w:rsid w:val="004D59E4"/>
    <w:rsid w:val="004D7E14"/>
    <w:rsid w:val="004E0E90"/>
    <w:rsid w:val="004E213A"/>
    <w:rsid w:val="004E39A2"/>
    <w:rsid w:val="004E3B83"/>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611"/>
    <w:rsid w:val="00582450"/>
    <w:rsid w:val="0058558D"/>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53FB"/>
    <w:rsid w:val="006759E6"/>
    <w:rsid w:val="006766F9"/>
    <w:rsid w:val="00685171"/>
    <w:rsid w:val="00695BB3"/>
    <w:rsid w:val="006A0145"/>
    <w:rsid w:val="006A016F"/>
    <w:rsid w:val="006A323F"/>
    <w:rsid w:val="006B30D0"/>
    <w:rsid w:val="006B5EF2"/>
    <w:rsid w:val="006C0AD3"/>
    <w:rsid w:val="006C3D95"/>
    <w:rsid w:val="006C79D3"/>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7D88"/>
    <w:rsid w:val="007E2E4B"/>
    <w:rsid w:val="007E6293"/>
    <w:rsid w:val="007F0F4A"/>
    <w:rsid w:val="008028A4"/>
    <w:rsid w:val="008038C2"/>
    <w:rsid w:val="00805370"/>
    <w:rsid w:val="00807C85"/>
    <w:rsid w:val="00810E8D"/>
    <w:rsid w:val="0081236B"/>
    <w:rsid w:val="00820B25"/>
    <w:rsid w:val="00820E0F"/>
    <w:rsid w:val="00821AEF"/>
    <w:rsid w:val="008246F0"/>
    <w:rsid w:val="00826E3B"/>
    <w:rsid w:val="008276AC"/>
    <w:rsid w:val="00830747"/>
    <w:rsid w:val="00831714"/>
    <w:rsid w:val="00833062"/>
    <w:rsid w:val="00833358"/>
    <w:rsid w:val="008340FF"/>
    <w:rsid w:val="008366FC"/>
    <w:rsid w:val="00841896"/>
    <w:rsid w:val="0084389E"/>
    <w:rsid w:val="00843B15"/>
    <w:rsid w:val="00851FC4"/>
    <w:rsid w:val="00853162"/>
    <w:rsid w:val="008559EF"/>
    <w:rsid w:val="008569D0"/>
    <w:rsid w:val="00863A2E"/>
    <w:rsid w:val="00871049"/>
    <w:rsid w:val="00871DFA"/>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15A3"/>
    <w:rsid w:val="008F373C"/>
    <w:rsid w:val="00901B18"/>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979B4"/>
    <w:rsid w:val="009A758A"/>
    <w:rsid w:val="009B1349"/>
    <w:rsid w:val="009B2D87"/>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C6F73"/>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4553"/>
    <w:rsid w:val="00C45231"/>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2B1F"/>
    <w:rsid w:val="00DF6189"/>
    <w:rsid w:val="00DF62CD"/>
    <w:rsid w:val="00E00755"/>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4582"/>
    <w:rsid w:val="00E45E4A"/>
    <w:rsid w:val="00E52814"/>
    <w:rsid w:val="00E670FF"/>
    <w:rsid w:val="00E67C3E"/>
    <w:rsid w:val="00E72324"/>
    <w:rsid w:val="00E723B3"/>
    <w:rsid w:val="00E72ABE"/>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2</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15</cp:revision>
  <cp:lastPrinted>2019-02-25T14:05:00Z</cp:lastPrinted>
  <dcterms:created xsi:type="dcterms:W3CDTF">2023-08-11T23:05:00Z</dcterms:created>
  <dcterms:modified xsi:type="dcterms:W3CDTF">2023-09-27T22:50:00Z</dcterms:modified>
  <cp:category/>
</cp:coreProperties>
</file>